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494" w:rsidRDefault="00F1249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2494" w:rsidRDefault="00F12494">
      <w:pPr>
        <w:pStyle w:val="ConsPlusNormal"/>
        <w:jc w:val="both"/>
        <w:outlineLvl w:val="0"/>
      </w:pPr>
    </w:p>
    <w:p w:rsidR="00F12494" w:rsidRDefault="00F12494">
      <w:pPr>
        <w:pStyle w:val="ConsPlusNormal"/>
        <w:outlineLvl w:val="0"/>
      </w:pPr>
      <w:r>
        <w:t>Зарегистрировано в Минюсте России 11 марта 2016 г. N 41386</w:t>
      </w:r>
    </w:p>
    <w:p w:rsidR="00F12494" w:rsidRDefault="00F1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ПРИКАЗ</w:t>
      </w:r>
    </w:p>
    <w:p w:rsidR="00F12494" w:rsidRDefault="00F12494">
      <w:pPr>
        <w:pStyle w:val="ConsPlusTitle"/>
        <w:jc w:val="center"/>
      </w:pPr>
      <w:r>
        <w:t>от 18 февраля 2016 г. N 73н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ОБ УТВЕРЖДЕНИИ ПРОФЕССИОНАЛЬНОГО СТАНДАРТА</w:t>
      </w:r>
    </w:p>
    <w:p w:rsidR="00F12494" w:rsidRDefault="00F12494">
      <w:pPr>
        <w:pStyle w:val="ConsPlusTitle"/>
        <w:jc w:val="center"/>
      </w:pPr>
      <w:r>
        <w:t>"СПЕЦИАЛИСТ ПО АНТИДОПИНГОВОМУ ОБЕСПЕЧЕНИЮ"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F12494" w:rsidRDefault="00F12494">
      <w:pPr>
        <w:pStyle w:val="ConsPlusNormal"/>
        <w:spacing w:before="220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антидопинговому обеспечению".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right"/>
      </w:pPr>
      <w:r>
        <w:t>Министр</w:t>
      </w:r>
    </w:p>
    <w:p w:rsidR="00F12494" w:rsidRDefault="00F12494">
      <w:pPr>
        <w:pStyle w:val="ConsPlusNormal"/>
        <w:jc w:val="right"/>
      </w:pPr>
      <w:r>
        <w:t>М.А.ТОПИЛИН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right"/>
        <w:outlineLvl w:val="0"/>
      </w:pPr>
      <w:r>
        <w:t>Утвержден</w:t>
      </w:r>
    </w:p>
    <w:p w:rsidR="00F12494" w:rsidRDefault="00F12494">
      <w:pPr>
        <w:pStyle w:val="ConsPlusNormal"/>
        <w:jc w:val="right"/>
      </w:pPr>
      <w:r>
        <w:t>приказом Министерства труда</w:t>
      </w:r>
    </w:p>
    <w:p w:rsidR="00F12494" w:rsidRDefault="00F12494">
      <w:pPr>
        <w:pStyle w:val="ConsPlusNormal"/>
        <w:jc w:val="right"/>
      </w:pPr>
      <w:r>
        <w:t>и социальной защиты</w:t>
      </w:r>
    </w:p>
    <w:p w:rsidR="00F12494" w:rsidRDefault="00F12494">
      <w:pPr>
        <w:pStyle w:val="ConsPlusNormal"/>
        <w:jc w:val="right"/>
      </w:pPr>
      <w:r>
        <w:t>Российской Федерации</w:t>
      </w:r>
    </w:p>
    <w:p w:rsidR="00F12494" w:rsidRDefault="00F12494">
      <w:pPr>
        <w:pStyle w:val="ConsPlusNormal"/>
        <w:jc w:val="right"/>
      </w:pPr>
      <w:r>
        <w:t>от 18 февраля 2016 г. N 73н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Title"/>
        <w:jc w:val="center"/>
      </w:pPr>
      <w:bookmarkStart w:id="0" w:name="P28"/>
      <w:bookmarkEnd w:id="0"/>
      <w:r>
        <w:t>ПРОФЕССИОНАЛЬНЫЙ СТАНДАРТ</w:t>
      </w:r>
    </w:p>
    <w:p w:rsidR="00F12494" w:rsidRDefault="00F12494">
      <w:pPr>
        <w:pStyle w:val="ConsPlusTitle"/>
        <w:jc w:val="center"/>
      </w:pPr>
    </w:p>
    <w:p w:rsidR="00F12494" w:rsidRDefault="00F12494">
      <w:pPr>
        <w:pStyle w:val="ConsPlusTitle"/>
        <w:jc w:val="center"/>
      </w:pPr>
      <w:r>
        <w:t>СПЕЦИАЛИСТ ПО АНТИДОПИНГОВОМУ ОБЕСПЕЧЕНИЮ</w:t>
      </w:r>
    </w:p>
    <w:p w:rsidR="00F12494" w:rsidRDefault="00F12494">
      <w:pPr>
        <w:pStyle w:val="ConsPlusNormal"/>
        <w:jc w:val="both"/>
      </w:pPr>
    </w:p>
    <w:p w:rsidR="00F12494" w:rsidRDefault="00F12494">
      <w:pPr>
        <w:sectPr w:rsidR="00F12494" w:rsidSect="00A576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22"/>
        <w:gridCol w:w="2016"/>
      </w:tblGrid>
      <w:tr w:rsidR="00F12494">
        <w:tc>
          <w:tcPr>
            <w:tcW w:w="7622" w:type="dxa"/>
            <w:tcBorders>
              <w:top w:val="nil"/>
              <w:left w:val="nil"/>
              <w:bottom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  <w:jc w:val="center"/>
            </w:pPr>
            <w:r>
              <w:t>825</w:t>
            </w: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622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I. Общие сведения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80"/>
        <w:gridCol w:w="389"/>
        <w:gridCol w:w="1361"/>
      </w:tblGrid>
      <w:tr w:rsidR="00F12494">
        <w:tc>
          <w:tcPr>
            <w:tcW w:w="7880" w:type="dxa"/>
            <w:tcBorders>
              <w:top w:val="nil"/>
              <w:left w:val="nil"/>
              <w:right w:val="nil"/>
            </w:tcBorders>
          </w:tcPr>
          <w:p w:rsidR="00F12494" w:rsidRDefault="00F12494">
            <w:pPr>
              <w:pStyle w:val="ConsPlusNormal"/>
            </w:pPr>
            <w:r>
              <w:t>Подготовка и проведение профилактической работы, направленной на предотвращение антидопинговых нарушений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05.010</w:t>
            </w:r>
          </w:p>
        </w:tc>
      </w:tr>
      <w:tr w:rsidR="00F12494">
        <w:tblPrEx>
          <w:tblBorders>
            <w:right w:val="none" w:sz="0" w:space="0" w:color="auto"/>
          </w:tblBorders>
        </w:tblPrEx>
        <w:tc>
          <w:tcPr>
            <w:tcW w:w="788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F12494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Разработка и реализация плановых мероприятий, направленных на осуществление проектов по борьбе с допингом в спорте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Вид трудовой деятельности (группа занятий):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3874"/>
        <w:gridCol w:w="1262"/>
        <w:gridCol w:w="2778"/>
      </w:tblGrid>
      <w:tr w:rsidR="00F12494">
        <w:tc>
          <w:tcPr>
            <w:tcW w:w="1682" w:type="dxa"/>
          </w:tcPr>
          <w:p w:rsidR="00F12494" w:rsidRDefault="00F12494">
            <w:pPr>
              <w:pStyle w:val="ConsPlusNormal"/>
            </w:pPr>
            <w:hyperlink r:id="rId6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3874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  <w:tc>
          <w:tcPr>
            <w:tcW w:w="1262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2778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7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87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26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8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82"/>
        <w:gridCol w:w="7928"/>
      </w:tblGrid>
      <w:tr w:rsidR="00F12494">
        <w:tc>
          <w:tcPr>
            <w:tcW w:w="1682" w:type="dxa"/>
          </w:tcPr>
          <w:p w:rsidR="00F12494" w:rsidRDefault="00F12494">
            <w:pPr>
              <w:pStyle w:val="ConsPlusNormal"/>
            </w:pPr>
            <w:hyperlink r:id="rId9" w:history="1">
              <w:r>
                <w:rPr>
                  <w:color w:val="0000FF"/>
                </w:rPr>
                <w:t>93.19</w:t>
              </w:r>
            </w:hyperlink>
          </w:p>
        </w:tc>
        <w:tc>
          <w:tcPr>
            <w:tcW w:w="7928" w:type="dxa"/>
          </w:tcPr>
          <w:p w:rsidR="00F12494" w:rsidRDefault="00F12494">
            <w:pPr>
              <w:pStyle w:val="ConsPlusNormal"/>
            </w:pPr>
            <w:r>
              <w:t>Деятельность в области спорта прочая</w:t>
            </w:r>
          </w:p>
        </w:tc>
      </w:tr>
      <w:tr w:rsidR="00F12494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682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54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12494" w:rsidRDefault="00F12494">
      <w:pPr>
        <w:pStyle w:val="ConsPlusNormal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F12494" w:rsidRDefault="00F12494">
      <w:pPr>
        <w:pStyle w:val="ConsPlusNormal"/>
        <w:jc w:val="center"/>
      </w:pPr>
      <w:r>
        <w:lastRenderedPageBreak/>
        <w:t>профессиональной деятельности)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84"/>
        <w:gridCol w:w="964"/>
        <w:gridCol w:w="4252"/>
        <w:gridCol w:w="850"/>
        <w:gridCol w:w="1020"/>
      </w:tblGrid>
      <w:tr w:rsidR="00F12494">
        <w:tc>
          <w:tcPr>
            <w:tcW w:w="3515" w:type="dxa"/>
            <w:gridSpan w:val="3"/>
          </w:tcPr>
          <w:p w:rsidR="00F12494" w:rsidRDefault="00F12494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6122" w:type="dxa"/>
            <w:gridSpan w:val="3"/>
          </w:tcPr>
          <w:p w:rsidR="00F12494" w:rsidRDefault="00F12494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12494">
        <w:tc>
          <w:tcPr>
            <w:tcW w:w="567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</w:tcPr>
          <w:p w:rsidR="00F12494" w:rsidRDefault="00F124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12494">
        <w:tc>
          <w:tcPr>
            <w:tcW w:w="567" w:type="dxa"/>
            <w:vMerge w:val="restart"/>
          </w:tcPr>
          <w:p w:rsidR="00F12494" w:rsidRDefault="00F12494">
            <w:pPr>
              <w:pStyle w:val="ConsPlusNormal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F12494" w:rsidRDefault="00F1249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964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A/01.4</w:t>
            </w:r>
          </w:p>
        </w:tc>
        <w:tc>
          <w:tcPr>
            <w:tcW w:w="1020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A/02.4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A/03.4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 w:val="restart"/>
          </w:tcPr>
          <w:p w:rsidR="00F12494" w:rsidRDefault="00F12494">
            <w:pPr>
              <w:pStyle w:val="ConsPlusNormal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F12494" w:rsidRDefault="00F1249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964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  <w:vMerge w:val="restart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 xml:space="preserve">Планирование и проведение информационных и профилактических антидопинговых мероприятий с </w:t>
            </w:r>
            <w:r>
              <w:lastRenderedPageBreak/>
              <w:t>использованием разработанных рекомендаций, инструкций и пособий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lastRenderedPageBreak/>
              <w:t>B/02.6</w:t>
            </w:r>
          </w:p>
        </w:tc>
        <w:tc>
          <w:tcPr>
            <w:tcW w:w="1020" w:type="dxa"/>
            <w:vMerge/>
          </w:tcPr>
          <w:p w:rsidR="00F12494" w:rsidRDefault="00F12494"/>
        </w:tc>
      </w:tr>
      <w:tr w:rsidR="00F12494">
        <w:tc>
          <w:tcPr>
            <w:tcW w:w="567" w:type="dxa"/>
            <w:vMerge/>
          </w:tcPr>
          <w:p w:rsidR="00F12494" w:rsidRDefault="00F12494"/>
        </w:tc>
        <w:tc>
          <w:tcPr>
            <w:tcW w:w="1984" w:type="dxa"/>
            <w:vMerge/>
          </w:tcPr>
          <w:p w:rsidR="00F12494" w:rsidRDefault="00F12494"/>
        </w:tc>
        <w:tc>
          <w:tcPr>
            <w:tcW w:w="964" w:type="dxa"/>
            <w:vMerge/>
          </w:tcPr>
          <w:p w:rsidR="00F12494" w:rsidRDefault="00F12494"/>
        </w:tc>
        <w:tc>
          <w:tcPr>
            <w:tcW w:w="4252" w:type="dxa"/>
          </w:tcPr>
          <w:p w:rsidR="00F12494" w:rsidRDefault="00F1249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850" w:type="dxa"/>
          </w:tcPr>
          <w:p w:rsidR="00F12494" w:rsidRDefault="00F12494">
            <w:pPr>
              <w:pStyle w:val="ConsPlusNormal"/>
              <w:jc w:val="center"/>
            </w:pPr>
            <w:r>
              <w:t>B/03.6</w:t>
            </w:r>
          </w:p>
        </w:tc>
        <w:tc>
          <w:tcPr>
            <w:tcW w:w="1020" w:type="dxa"/>
            <w:vMerge/>
          </w:tcPr>
          <w:p w:rsidR="00F12494" w:rsidRDefault="00F12494"/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3.1. Обобщенная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Специалист по антидопинговой деятельности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Требования к опыту практической работы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Не менее одного года в области физической культуры и спорта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Дополнительные характеристики: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F12494">
        <w:tc>
          <w:tcPr>
            <w:tcW w:w="1701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2494">
        <w:tc>
          <w:tcPr>
            <w:tcW w:w="1701" w:type="dxa"/>
          </w:tcPr>
          <w:p w:rsidR="00F12494" w:rsidRDefault="00F1249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r>
              <w:t xml:space="preserve">ЕКС </w:t>
            </w:r>
            <w:hyperlink w:anchor="P54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54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3.1.1.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A/01.4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передового опыта осуществления процесса антидопингового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Анализ мировых достижений в сфере </w:t>
            </w:r>
            <w:proofErr w:type="gramStart"/>
            <w:r>
              <w:t>антидопингового</w:t>
            </w:r>
            <w:proofErr w:type="gramEnd"/>
            <w:r>
              <w:t xml:space="preserve">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эффективности методик, направленных на противодействие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методической работы по противодействию использованию запрещенных допинговых средств и/или методов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Согласование и проведение плановых профилактических антидопинговых мероприятий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proofErr w:type="gramStart"/>
            <w:r>
              <w:t>Выявлять и обосновывать</w:t>
            </w:r>
            <w:proofErr w:type="gramEnd"/>
            <w:r>
              <w:t xml:space="preserve"> достоинства и недостатки методик, направленных на противодействие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Анализировать информацию из антидопинговых организаций, </w:t>
            </w:r>
            <w:r>
              <w:lastRenderedPageBreak/>
              <w:t>статистических сборников, отчетных данных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Предлагать решение проблемы нарушения антидопинговых правил на основе собранных данных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Использовать наглядные материалы при проведении практических занятий для слушателей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законодательства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Антидопинговые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Этические нормы в области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3.1.2.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A/02.4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просветительских программ и информационных мероприятий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Участие в соответствии с должностными полномочиями в совещаниях, рабочих встречах по вопросам разработки просветительских программ в области антидопинговой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дистанционных программ по вопросам противодействия применению допинга в спорте для различных категорий слушателей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инструкций и рекомендаций по разработке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консультационных мероприятий в области антидопингового законодательства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предпочтительной формы подачи материала различным целевым аудиториям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Составление и утверждение расписаний занятий для отдельных групп слушателей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материалов для публикации в журналах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Производить записи о ежедневной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методику проведения практических занятий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Оформлять наглядные материалы по антидопинговой информационной тематике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контрольные задания для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методы составления консультационных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Осуществлять методическую работу с целевыми аудиториями, ориентируясь на личностные характеристики, развитие мотивации, </w:t>
            </w:r>
            <w:r>
              <w:lastRenderedPageBreak/>
              <w:t>познавательные интересы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навыками 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proofErr w:type="gramStart"/>
            <w:r>
              <w:t>Составлять и оформлять</w:t>
            </w:r>
            <w:proofErr w:type="gramEnd"/>
            <w:r>
              <w:t xml:space="preserve"> целевые программы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Подготавливать материалы для журнальных статей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Консультировать несовершеннолетних по вопросам антидопинговой тематики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3.1.3.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A/03.4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4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Получение инструкций и пособий для проведения мониторинга выполняемой работы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Осуществление мониторинга выполняемой работы на основе инструкций и пособий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Заполнение статистических учетных и отчетных форм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Планирование антидопинговых мероприятий с целью контроля актуальности представляемого информационного материала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эффективности проводимых мероприятий методом анкетирования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Прогнозирование возможных конфликтных ситуаций в процессе работы со слушателями в зависимости от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деловой переписки с заинтересованными организациями (лицами)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реестра организаций (лиц), заинтересованных в развитии сотрудничества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формы информирования аудитории в зависимости от возраста и отношения слушателей к спорту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Согласование изменений в плане антидопинговых и спортивных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выполнения плана антидопинговых мероприятий и эффективности проведенной работы по мониторингу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Оформление текущей рабочей документации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антидопинговые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эффективность проведенных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Анализировать передовой опыт антидопинговой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Производить объективную оценку конфликтных ситуаций и принимать решение по недопущению конфликтов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Законодательство Российской Федерации в сфере физической культуры и спорта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анализа и систематизации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ведения деловых переговоров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Методика анализа принятия управленческих решений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персональным компьютером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акты, регламентирующие выполнение должностных обязанностей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3.2. Обобщенная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Организация работы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703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Менеджер по антидопинговому обеспечению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lastRenderedPageBreak/>
              <w:t>Требования к образованию и обучению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Высшее образование - бакалавриат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Не менее одного года в сфере антидопинговой службы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Дополнительные характеристики: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134"/>
        <w:gridCol w:w="6803"/>
      </w:tblGrid>
      <w:tr w:rsidR="00F12494">
        <w:tc>
          <w:tcPr>
            <w:tcW w:w="1701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12494">
        <w:tc>
          <w:tcPr>
            <w:tcW w:w="1701" w:type="dxa"/>
          </w:tcPr>
          <w:p w:rsidR="00F12494" w:rsidRDefault="00F1249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3422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Спортивные служащие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r>
              <w:t>ЕКС</w:t>
            </w:r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r>
              <w:t>-</w:t>
            </w:r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  <w:vMerge w:val="restart"/>
          </w:tcPr>
          <w:p w:rsidR="00F12494" w:rsidRDefault="00F12494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23122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Инструктор-методист физкультурно-спортивных организаций</w:t>
            </w:r>
          </w:p>
        </w:tc>
      </w:tr>
      <w:tr w:rsidR="00F12494">
        <w:tc>
          <w:tcPr>
            <w:tcW w:w="1701" w:type="dxa"/>
            <w:vMerge/>
          </w:tcPr>
          <w:p w:rsidR="00F12494" w:rsidRDefault="00F12494"/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23168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Инструктор по спорту</w:t>
            </w:r>
          </w:p>
        </w:tc>
      </w:tr>
      <w:tr w:rsidR="00F12494">
        <w:tc>
          <w:tcPr>
            <w:tcW w:w="1701" w:type="dxa"/>
          </w:tcPr>
          <w:p w:rsidR="00F12494" w:rsidRDefault="00F1249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54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34" w:type="dxa"/>
          </w:tcPr>
          <w:p w:rsidR="00F12494" w:rsidRDefault="00F1249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032100</w:t>
              </w:r>
            </w:hyperlink>
          </w:p>
        </w:tc>
        <w:tc>
          <w:tcPr>
            <w:tcW w:w="6803" w:type="dxa"/>
          </w:tcPr>
          <w:p w:rsidR="00F12494" w:rsidRDefault="00F12494">
            <w:pPr>
              <w:pStyle w:val="ConsPlusNormal"/>
            </w:pPr>
            <w:r>
              <w:t>Физическая культура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3.2.1.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Организация работы специалистов по антидопинговому обеспечению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и издание информационных антидопинговых программ для разных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и проведение информационных 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Распределение процесса индивидуальной работы со специалистами по антидопинговому обеспечению организации по выявлению, формированию и развитию их познавательных интересов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Определение перечня информационных антидопинговых программ и применяемых в них методик, выбор оптимальной организационной структуры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Организация взаимодействия специалистов по антидопинговому обеспечению с работниками системы спортивной подготовки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Обеспечение уровня подготовки специалистов по антидопинговому обеспечению в соответствии с требованиями профессионального стандарта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Организация разных видов деятельности работников с учетом их личных особенностей, развитие мотивации их познавательных интересов, </w:t>
            </w:r>
            <w:r>
              <w:lastRenderedPageBreak/>
              <w:t>способностей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Подбор специалистов по антидопинговому обеспечению для взаимодействия с целевыми аудиториями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Контроль знаний и умений специалистов по антидопинговому обеспечению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материалов для паралимпийцев, сурдлимпийцев с учетом нозологии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Комплектование состава целевых аудиторий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Определять целевые аудитории для реализации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наглядную демонстрацию антидопинговой программы с учетом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Контролировать использование методики оценки полученных знаний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Планировать свою работу и работу специалистов по антидопинговому обеспечению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Выбирать антидопинговые программы в зависимости от целевой аудитории, учитывая квалификационные, возрастные особенности, нозологию в паралимпийском, сурдлимпийском спорте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Содержание учебных программ и принципы организации антидопинговых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формы и методы методического обеспечения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технологии продуктивного, дифференцированного подхода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реализации компетентностного подхода представления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Способы убеждения, аргументации, установления контактов со слушателями разного возраста, родителями несовершеннолетних (лицами, их заменяющими), коллегами по работе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3.2.2.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B/02.6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Планирование и согласование с федеральными органами исполнительной власти, органами исполнительной </w:t>
            </w:r>
            <w:proofErr w:type="gramStart"/>
            <w:r>
              <w:t>власти субъектов Российской Федерации плана антидопинговых мероприятий</w:t>
            </w:r>
            <w:proofErr w:type="gramEnd"/>
            <w:r>
              <w:t xml:space="preserve"> в зависимости от уровня проведения официального спортивного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формы и способа проведения профилактического информационного антидопингового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Проведение 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международных антидопинговых программ, документов международных организаций по вопросам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Внесение обоснованных предложений по решению актуальных проблем, связанных с совершенствованием профилактической работы в области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Выбор целевой аудитории для реализации информационных и профилактических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эффективности проведенных мероприятий по актуальным антидопинговым тематикам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Ведение отчетной документации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Выбирать инструкции и рекомендации по антидопинговым программам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Составлять план проведения мероприятия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работу с выбранной целевой аудиторией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Представлять информационные материалы по информационным антидопинговым программам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proofErr w:type="gramStart"/>
            <w:r>
              <w:t>Изучать и систематизировать</w:t>
            </w:r>
            <w:proofErr w:type="gramEnd"/>
            <w:r>
              <w:t xml:space="preserve"> информацию по организации и методическому обеспечению антидопинговых программ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  <w:jc w:val="both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педагогики и психологии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стандарты в области противодействия применению допинга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антидопинговые правила и стандарты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Антидопинговое законодательство Российской Федерации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Нормативные документы, регламентирующие работу со служебной документацией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консультирования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3"/>
      </w:pPr>
      <w:r>
        <w:t>3.2.3. Трудовая функция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4535"/>
        <w:gridCol w:w="614"/>
        <w:gridCol w:w="794"/>
        <w:gridCol w:w="1694"/>
        <w:gridCol w:w="340"/>
      </w:tblGrid>
      <w:tr w:rsidR="00F12494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61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</w:pPr>
            <w:r>
              <w:t>B/03.6</w:t>
            </w:r>
          </w:p>
        </w:tc>
        <w:tc>
          <w:tcPr>
            <w:tcW w:w="1694" w:type="dxa"/>
            <w:tcBorders>
              <w:top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6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1304"/>
        <w:gridCol w:w="470"/>
        <w:gridCol w:w="1928"/>
        <w:gridCol w:w="1191"/>
        <w:gridCol w:w="2154"/>
      </w:tblGrid>
      <w:tr w:rsidR="00F12494">
        <w:tc>
          <w:tcPr>
            <w:tcW w:w="2608" w:type="dxa"/>
            <w:tcBorders>
              <w:top w:val="nil"/>
              <w:left w:val="nil"/>
              <w:bottom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304" w:type="dxa"/>
            <w:tcBorders>
              <w:righ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Оригинал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F12494" w:rsidRDefault="00F12494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Заимствовано из оригинала</w:t>
            </w:r>
          </w:p>
        </w:tc>
        <w:tc>
          <w:tcPr>
            <w:tcW w:w="1191" w:type="dxa"/>
          </w:tcPr>
          <w:p w:rsidR="00F12494" w:rsidRDefault="00F12494">
            <w:pPr>
              <w:pStyle w:val="ConsPlusNormal"/>
            </w:pPr>
          </w:p>
        </w:tc>
        <w:tc>
          <w:tcPr>
            <w:tcW w:w="2154" w:type="dxa"/>
          </w:tcPr>
          <w:p w:rsidR="00F12494" w:rsidRDefault="00F12494">
            <w:pPr>
              <w:pStyle w:val="ConsPlusNormal"/>
            </w:pPr>
          </w:p>
        </w:tc>
      </w:tr>
      <w:tr w:rsidR="00F12494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470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928" w:type="dxa"/>
            <w:tcBorders>
              <w:left w:val="nil"/>
              <w:bottom w:val="nil"/>
              <w:right w:val="nil"/>
            </w:tcBorders>
          </w:tcPr>
          <w:p w:rsidR="00F12494" w:rsidRDefault="00F12494">
            <w:pPr>
              <w:pStyle w:val="ConsPlusNormal"/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  <w:vAlign w:val="center"/>
          </w:tcPr>
          <w:p w:rsidR="00F12494" w:rsidRDefault="00F12494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030"/>
      </w:tblGrid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Изучение нормативной базы международных организаций по вопросам противодействия допингу в спорте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Анализ коммерческих предложений по подготовке и изданию антидопинговых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Разработка и распространение методических материалов, направленных на противодействие применению допинга в спорте, в том числе размещение на сайтах физкультурно-спортивных организаций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Осуществление взаимодействия с заинтересованными специалистами и организациями по подготовке изданию антидопинговых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Работа в соответствии с должностными полномочиями в составе педагогических, методических советов физкультурно-спортивных организаций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 xml:space="preserve">Оформлять к изданию программы, информационные материалы, </w:t>
            </w:r>
            <w:r>
              <w:lastRenderedPageBreak/>
              <w:t>методики проведения практических занятий, наглядные материалы, задания для всех категорий слушателей по основам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proofErr w:type="gramStart"/>
            <w:r>
              <w:t>Изучать и систематизировать</w:t>
            </w:r>
            <w:proofErr w:type="gramEnd"/>
            <w:r>
              <w:t xml:space="preserve"> информацию для разработки антидопинговых программ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Применять навыки дизайнерской работы для оформления наглядных материалов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Осуществлять работу в информационно-телекоммуникационной сети "Интернет"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F12494">
        <w:tc>
          <w:tcPr>
            <w:tcW w:w="2608" w:type="dxa"/>
            <w:vMerge w:val="restart"/>
          </w:tcPr>
          <w:p w:rsidR="00F12494" w:rsidRDefault="00F12494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Нормативно-правовые акты, регламентирующие информационную деятельность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организации и управления в области физической культуры и спорта, применяемые на федеральном и региональном уровнях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Методы сбора и обработки информации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Методики разработки антидопинговых программ для различной целевой аудитории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Методики проведения обучения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Международные этические нормы в области противодействия применению допинга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Требования охраны труда и пожарной безопасности</w:t>
            </w:r>
          </w:p>
        </w:tc>
      </w:tr>
      <w:tr w:rsidR="00F12494">
        <w:tc>
          <w:tcPr>
            <w:tcW w:w="2608" w:type="dxa"/>
            <w:vMerge/>
          </w:tcPr>
          <w:p w:rsidR="00F12494" w:rsidRDefault="00F12494"/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F12494">
        <w:tc>
          <w:tcPr>
            <w:tcW w:w="2608" w:type="dxa"/>
          </w:tcPr>
          <w:p w:rsidR="00F12494" w:rsidRDefault="00F12494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30" w:type="dxa"/>
          </w:tcPr>
          <w:p w:rsidR="00F12494" w:rsidRDefault="00F12494">
            <w:pPr>
              <w:pStyle w:val="ConsPlusNormal"/>
              <w:jc w:val="both"/>
            </w:pPr>
            <w:r>
              <w:t>-</w:t>
            </w:r>
          </w:p>
        </w:tc>
      </w:tr>
    </w:tbl>
    <w:p w:rsidR="00F12494" w:rsidRDefault="00F12494">
      <w:pPr>
        <w:sectPr w:rsidR="00F1249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12494" w:rsidRDefault="00F12494">
      <w:pPr>
        <w:pStyle w:val="ConsPlusNormal"/>
        <w:jc w:val="center"/>
      </w:pPr>
      <w:r>
        <w:t>профессионального стандарта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2"/>
        <w:gridCol w:w="4320"/>
      </w:tblGrid>
      <w:tr w:rsidR="00F12494">
        <w:tc>
          <w:tcPr>
            <w:tcW w:w="96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АНО ДО взрослых "Центр повышения квалификации государственных и муниципальных служащих" (</w:t>
            </w:r>
            <w:proofErr w:type="gramStart"/>
            <w:r>
              <w:t>АНО ДОВ</w:t>
            </w:r>
            <w:proofErr w:type="gramEnd"/>
            <w:r>
              <w:t>), город Пермь</w:t>
            </w:r>
          </w:p>
        </w:tc>
      </w:tr>
      <w:tr w:rsidR="00F12494">
        <w:tc>
          <w:tcPr>
            <w:tcW w:w="5282" w:type="dxa"/>
            <w:tcBorders>
              <w:left w:val="single" w:sz="4" w:space="0" w:color="auto"/>
              <w:right w:val="nil"/>
            </w:tcBorders>
          </w:tcPr>
          <w:p w:rsidR="00F12494" w:rsidRDefault="00F12494">
            <w:pPr>
              <w:pStyle w:val="ConsPlusNormal"/>
            </w:pPr>
            <w:r>
              <w:t>Директор</w:t>
            </w:r>
          </w:p>
        </w:tc>
        <w:tc>
          <w:tcPr>
            <w:tcW w:w="4320" w:type="dxa"/>
            <w:tcBorders>
              <w:left w:val="nil"/>
              <w:right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Петухов Роман Вадимович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12494" w:rsidRDefault="00F124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2"/>
        <w:gridCol w:w="9180"/>
      </w:tblGrid>
      <w:tr w:rsidR="00F12494"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1</w:t>
            </w:r>
          </w:p>
        </w:tc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</w:tcPr>
          <w:p w:rsidR="00F12494" w:rsidRDefault="00F12494">
            <w:pPr>
              <w:pStyle w:val="ConsPlusNormal"/>
            </w:pPr>
            <w:r>
              <w:t>Ассоциация Российское антидопинговое агентство "РУСАДА", город Москва</w:t>
            </w:r>
          </w:p>
        </w:tc>
      </w:tr>
    </w:tbl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ind w:firstLine="540"/>
        <w:jc w:val="both"/>
      </w:pPr>
      <w:r>
        <w:t>--------------------------------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1" w:name="P541"/>
      <w:bookmarkEnd w:id="1"/>
      <w:r>
        <w:t xml:space="preserve">&lt;1&gt;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2" w:name="P542"/>
      <w:bookmarkEnd w:id="2"/>
      <w:r>
        <w:t xml:space="preserve">&lt;2&gt;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3" w:name="P543"/>
      <w:bookmarkEnd w:id="3"/>
      <w:r>
        <w:t>&lt;3&gt; Единый квалификационный справочник должностей руководителей, специалистов и других служащих.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4" w:name="P544"/>
      <w:bookmarkEnd w:id="4"/>
      <w:r>
        <w:t xml:space="preserve">&lt;4&gt;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12494" w:rsidRDefault="00F12494">
      <w:pPr>
        <w:pStyle w:val="ConsPlusNormal"/>
        <w:spacing w:before="220"/>
        <w:ind w:firstLine="540"/>
        <w:jc w:val="both"/>
      </w:pPr>
      <w:bookmarkStart w:id="5" w:name="P545"/>
      <w:bookmarkEnd w:id="5"/>
      <w:r>
        <w:t xml:space="preserve">&lt;5&gt; Общероссийский </w:t>
      </w:r>
      <w:hyperlink r:id="rId2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jc w:val="both"/>
      </w:pPr>
    </w:p>
    <w:p w:rsidR="00F12494" w:rsidRDefault="00F124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2494" w:rsidRDefault="00F12494"/>
    <w:sectPr w:rsidR="00F12494" w:rsidSect="0085735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characterSpacingControl w:val="doNotCompress"/>
  <w:compat/>
  <w:rsids>
    <w:rsidRoot w:val="00F12494"/>
    <w:rsid w:val="00F1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2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2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874988061C1D73FDC6BB1879B025870612AEEEB1BB29A57FB64DE19ED78627E6396343C45F81B1A9797BF5BFyDB2Q" TargetMode="External"/><Relationship Id="rId13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18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26" Type="http://schemas.openxmlformats.org/officeDocument/2006/relationships/hyperlink" Target="consultantplus://offline/ref=22874988061C1D73FDC6BB1879B025870614ACEFB0B829A57FB64DE19ED78627E6396343C45F81B1A9797BF5BFyDB2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2874988061C1D73FDC6BB1879B025870614ACEFB0B829A57FB64DE19ED78627E6396343C45F81B1A9797BF5BFyDB2Q" TargetMode="External"/><Relationship Id="rId7" Type="http://schemas.openxmlformats.org/officeDocument/2006/relationships/hyperlink" Target="consultantplus://offline/ref=22874988061C1D73FDC6BB1879B025870612AEEEB1BB29A57FB64DE19ED78627E6396343C45F81B1A9797BF5BFyDB2Q" TargetMode="External"/><Relationship Id="rId12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17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25" Type="http://schemas.openxmlformats.org/officeDocument/2006/relationships/hyperlink" Target="consultantplus://offline/ref=22874988061C1D73FDC6BB1879B025870616ACEEBDBE29A57FB64DE19ED78627F4393B4FC6579FB1A86C2DA4FA8E624F666525CB39149A1Fy3B2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874988061C1D73FDC6BB1879B025870612AEEEB1BB29A57FB64DE19ED78627E6396343C45F81B1A9797BF5BFyDB2Q" TargetMode="External"/><Relationship Id="rId20" Type="http://schemas.openxmlformats.org/officeDocument/2006/relationships/hyperlink" Target="consultantplus://offline/ref=22874988061C1D73FDC6BB1879B025870616ACEEBDBE29A57FB64DE19ED78627F4393B4FC6519CB1A86C2DA4FA8E624F666525CB39149A1Fy3B2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874988061C1D73FDC6BB1879B025870612AEEEB1BB29A57FB64DE19ED78627F4393B4FC65796B2AD6C2DA4FA8E624F666525CB39149A1Fy3B2Q" TargetMode="External"/><Relationship Id="rId11" Type="http://schemas.openxmlformats.org/officeDocument/2006/relationships/hyperlink" Target="consultantplus://offline/ref=22874988061C1D73FDC6BB1879B025870612AEEEB1BB29A57FB64DE19ED78627E6396343C45F81B1A9797BF5BFyDB2Q" TargetMode="External"/><Relationship Id="rId24" Type="http://schemas.openxmlformats.org/officeDocument/2006/relationships/hyperlink" Target="consultantplus://offline/ref=22874988061C1D73FDC6BB1879B025870416AAE3B1BB29A57FB64DE19ED78627E6396343C45F81B1A9797BF5BFyDB2Q" TargetMode="External"/><Relationship Id="rId5" Type="http://schemas.openxmlformats.org/officeDocument/2006/relationships/hyperlink" Target="consultantplus://offline/ref=22874988061C1D73FDC6BB1879B025870414ABE2B6B829A57FB64DE19ED78627F4393B47CD03CEF4FD6A7BFDA0DA6E536C7B25yCB3Q" TargetMode="External"/><Relationship Id="rId15" Type="http://schemas.openxmlformats.org/officeDocument/2006/relationships/hyperlink" Target="consultantplus://offline/ref=22874988061C1D73FDC6BB1879B025870616ACEEBDBE29A57FB64DE19ED78627F4393B4FC6519CB1A86C2DA4FA8E624F666525CB39149A1Fy3B2Q" TargetMode="External"/><Relationship Id="rId23" Type="http://schemas.openxmlformats.org/officeDocument/2006/relationships/hyperlink" Target="consultantplus://offline/ref=22874988061C1D73FDC6BB1879B025870612AEEEB1BB29A57FB64DE19ED78627E6396343C45F81B1A9797BF5BFyDB2Q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22874988061C1D73FDC6BB1879B025870416AAE3B1BB29A57FB64DE19ED78627E6396343C45F81B1A9797BF5BFyDB2Q" TargetMode="External"/><Relationship Id="rId19" Type="http://schemas.openxmlformats.org/officeDocument/2006/relationships/hyperlink" Target="consultantplus://offline/ref=22874988061C1D73FDC6BB1879B025870616ACEEBDBE29A57FB64DE19ED78627F4393B4FC6519DB9AD6C2DA4FA8E624F666525CB39149A1Fy3B2Q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2874988061C1D73FDC6BB1879B025870416AAE3B1BB29A57FB64DE19ED78627F4393B4FC6529AB1A06C2DA4FA8E624F666525CB39149A1Fy3B2Q" TargetMode="External"/><Relationship Id="rId14" Type="http://schemas.openxmlformats.org/officeDocument/2006/relationships/hyperlink" Target="consultantplus://offline/ref=22874988061C1D73FDC6BB1879B025870616ACEEBDBE29A57FB64DE19ED78627F4393B4FC6519DB9AD6C2DA4FA8E624F666525CB39149A1Fy3B2Q" TargetMode="External"/><Relationship Id="rId22" Type="http://schemas.openxmlformats.org/officeDocument/2006/relationships/hyperlink" Target="consultantplus://offline/ref=22874988061C1D73FDC6BB1879B025870614ACEFB0B829A57FB64DE19ED78627F4393B4FC6579DB0AE6C2DA4FA8E624F666525CB39149A1Fy3B2Q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3727</Words>
  <Characters>21250</Characters>
  <Application>Microsoft Office Word</Application>
  <DocSecurity>0</DocSecurity>
  <Lines>177</Lines>
  <Paragraphs>49</Paragraphs>
  <ScaleCrop>false</ScaleCrop>
  <Company/>
  <LinksUpToDate>false</LinksUpToDate>
  <CharactersWithSpaces>24928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volobuev</cp:lastModifiedBy>
  <cp:revision>1</cp:revision>
  <dcterms:created xsi:type="dcterms:W3CDTF">2019-11-28T16:01:00Z</dcterms:created>
  <dcterms:modified xsi:type="dcterms:W3CDTF">2019-11-28T16:02:00Z</dcterms:modified>
</cp:coreProperties>
</file>